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8ED" w:rsidRPr="00446F9D" w:rsidRDefault="00F618ED" w:rsidP="00F618ED">
      <w:pPr>
        <w:pStyle w:val="Header"/>
        <w:tabs>
          <w:tab w:val="clear" w:pos="4536"/>
        </w:tabs>
        <w:rPr>
          <w:i/>
        </w:rPr>
      </w:pPr>
      <w:r w:rsidRPr="00446F9D">
        <w:t xml:space="preserve">TSG-RAN WG1 </w:t>
      </w:r>
      <w:r w:rsidR="00262FC3">
        <w:t>NR AdHoc #3</w:t>
      </w:r>
      <w:r w:rsidRPr="00446F9D">
        <w:tab/>
      </w:r>
      <w:r w:rsidR="004900B0">
        <w:t>R1-17</w:t>
      </w:r>
      <w:r w:rsidR="00C930DC">
        <w:t>16884</w:t>
      </w:r>
      <w:bookmarkStart w:id="0" w:name="_GoBack"/>
      <w:bookmarkEnd w:id="0"/>
    </w:p>
    <w:p w:rsidR="00F618ED" w:rsidRPr="000833FA" w:rsidRDefault="00262FC3" w:rsidP="00F618ED">
      <w:pPr>
        <w:pStyle w:val="Header"/>
        <w:rPr>
          <w:color w:val="000000"/>
        </w:rPr>
      </w:pPr>
      <w:r>
        <w:t>Nagoya</w:t>
      </w:r>
      <w:r w:rsidR="0063517D">
        <w:t xml:space="preserve">, </w:t>
      </w:r>
      <w:r>
        <w:t>Japan</w:t>
      </w:r>
      <w:r w:rsidR="0063517D">
        <w:t xml:space="preserve">, </w:t>
      </w:r>
      <w:r>
        <w:t>September 18 – 21</w:t>
      </w:r>
      <w:r w:rsidR="0063517D">
        <w:t>, 2017</w:t>
      </w:r>
    </w:p>
    <w:p w:rsidR="00F618ED" w:rsidRPr="000833FA" w:rsidRDefault="00F618ED" w:rsidP="00F618E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262FC3">
        <w:t xml:space="preserve">Summary of </w:t>
      </w:r>
      <w:r w:rsidR="00E25B87">
        <w:t>6.3.3.1</w:t>
      </w:r>
    </w:p>
    <w:p w:rsidR="00F618ED" w:rsidRPr="00E220C0" w:rsidRDefault="00F618ED" w:rsidP="00F618ED">
      <w:pPr>
        <w:pStyle w:val="Header"/>
        <w:tabs>
          <w:tab w:val="left" w:pos="1800"/>
        </w:tabs>
      </w:pPr>
      <w:r w:rsidRPr="00E220C0">
        <w:t>Agenda Item:</w:t>
      </w:r>
      <w:bookmarkStart w:id="2" w:name="Source"/>
      <w:bookmarkEnd w:id="2"/>
      <w:r w:rsidRPr="00E220C0">
        <w:tab/>
      </w:r>
      <w:r w:rsidR="00E25B87">
        <w:t>6.3.3.1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785910" w:rsidRDefault="00D92AB5" w:rsidP="00E25B87">
      <w:pPr>
        <w:pStyle w:val="BodyText"/>
      </w:pPr>
      <w:r>
        <w:t>In the following, some questions relevant to 6.3.3.1 is provided. The document does not list every single issue raised in the contributions under 6.3.3.1 but tries to capture the most important ones together with some observations of possible solutions.</w:t>
      </w:r>
      <w:r w:rsidR="0053186E">
        <w:t xml:space="preserve"> </w:t>
      </w:r>
      <w:r w:rsidR="00785910">
        <w:t xml:space="preserve"> The main topics are </w:t>
      </w:r>
    </w:p>
    <w:p w:rsidR="00785910" w:rsidRDefault="00785910" w:rsidP="00785910">
      <w:pPr>
        <w:pStyle w:val="BodyText"/>
        <w:numPr>
          <w:ilvl w:val="0"/>
          <w:numId w:val="27"/>
        </w:numPr>
      </w:pPr>
      <w:r>
        <w:t>frequency-domain allocation</w:t>
      </w:r>
    </w:p>
    <w:p w:rsidR="00785910" w:rsidRDefault="00785910" w:rsidP="00785910">
      <w:pPr>
        <w:pStyle w:val="BodyText"/>
        <w:numPr>
          <w:ilvl w:val="0"/>
          <w:numId w:val="27"/>
        </w:numPr>
      </w:pPr>
      <w:r>
        <w:t>time-domain allocation</w:t>
      </w:r>
    </w:p>
    <w:p w:rsidR="00785910" w:rsidRDefault="00785910" w:rsidP="00785910">
      <w:pPr>
        <w:pStyle w:val="BodyText"/>
        <w:numPr>
          <w:ilvl w:val="0"/>
          <w:numId w:val="27"/>
        </w:numPr>
      </w:pPr>
      <w:r>
        <w:t>transport-block size determination</w:t>
      </w:r>
    </w:p>
    <w:p w:rsidR="00E25B87" w:rsidRDefault="0053186E" w:rsidP="00E25B87">
      <w:pPr>
        <w:pStyle w:val="BodyText"/>
      </w:pPr>
      <w:r>
        <w:t>Aspects such as DCI formats and reserved rescues were mentioned in one or two papers but are not included in this summary (DCI formats are likely to be discussed in conjunction with the e-mail summary of DCI content and agenda item 6.3.1.5)</w:t>
      </w:r>
    </w:p>
    <w:p w:rsidR="009F7D8C" w:rsidRDefault="00585773" w:rsidP="009F7D8C">
      <w:pPr>
        <w:pStyle w:val="Heading1"/>
      </w:pPr>
      <w:r>
        <w:t>Frequency-domain allocation</w:t>
      </w:r>
    </w:p>
    <w:p w:rsidR="00D92AB5" w:rsidRDefault="00D92AB5" w:rsidP="00585773">
      <w:pPr>
        <w:pStyle w:val="Heading2"/>
      </w:pPr>
      <w:r>
        <w:t>RBG size for resource allocation type 0</w:t>
      </w:r>
    </w:p>
    <w:p w:rsidR="00D92AB5" w:rsidRDefault="00D92AB5" w:rsidP="00D92AB5">
      <w:pPr>
        <w:pStyle w:val="BodyText"/>
      </w:pPr>
      <w:r>
        <w:t>Resource allocation type 0 uses a bitmap where each bit corresponds to a RBG. The size of a RBG for the purpose of resource allocation type 0 is currently not specified.</w:t>
      </w:r>
    </w:p>
    <w:p w:rsidR="00D92AB5" w:rsidRDefault="00D92AB5" w:rsidP="00D92AB5">
      <w:pPr>
        <w:pStyle w:val="BodyText"/>
      </w:pPr>
      <w:r>
        <w:t xml:space="preserve">Two main approaches for determining the RBG size are discuses in multiple documents: </w:t>
      </w:r>
    </w:p>
    <w:p w:rsidR="00D92AB5" w:rsidRDefault="00D92AB5" w:rsidP="00D92AB5">
      <w:pPr>
        <w:pStyle w:val="BodyText"/>
        <w:numPr>
          <w:ilvl w:val="0"/>
          <w:numId w:val="23"/>
        </w:numPr>
      </w:pPr>
      <w:r>
        <w:t xml:space="preserve">couple the RBG size to the size of the bandwidth part or, </w:t>
      </w:r>
    </w:p>
    <w:p w:rsidR="00D92AB5" w:rsidRDefault="00D92AB5" w:rsidP="00D92AB5">
      <w:pPr>
        <w:pStyle w:val="BodyText"/>
        <w:numPr>
          <w:ilvl w:val="0"/>
          <w:numId w:val="23"/>
        </w:numPr>
      </w:pPr>
      <w:r>
        <w:t xml:space="preserve">semi-statically configure the RBG size. </w:t>
      </w:r>
    </w:p>
    <w:p w:rsidR="00D92AB5" w:rsidRDefault="00D92AB5" w:rsidP="00D92AB5">
      <w:pPr>
        <w:pStyle w:val="BodyText"/>
      </w:pPr>
      <w:r>
        <w:t>A slight majority seems to prefer coupling it to the BWP size. A few contributions also mentioned the possibility of dynamically switch between multiple RBG sizes. One contribution also mentioned the need to ensure that overlapping BWPs of different size have “compatible” RBG sizes.</w:t>
      </w:r>
    </w:p>
    <w:p w:rsidR="00D92AB5" w:rsidRDefault="00D92AB5" w:rsidP="00D92AB5">
      <w:pPr>
        <w:pStyle w:val="BodyText"/>
      </w:pPr>
      <w:r>
        <w:t>On the supported RBG sizes, many companies mention 1, 2, 4, and 8 as supported sizes. Some companies want 3 and 6 in addition. One company mentioned the need to align the RBG sizes with the REG bundle sizes in the frequency domain for the purpose of exploiting unused PDCCH resources for PDSCH.</w:t>
      </w:r>
    </w:p>
    <w:p w:rsidR="0068782F" w:rsidRDefault="0068782F" w:rsidP="00585773">
      <w:pPr>
        <w:pStyle w:val="Heading2"/>
      </w:pPr>
      <w:r>
        <w:t>Granularity for resource allocation type 1</w:t>
      </w:r>
    </w:p>
    <w:p w:rsidR="0068782F" w:rsidRDefault="0068782F" w:rsidP="0068782F">
      <w:pPr>
        <w:pStyle w:val="BodyText"/>
      </w:pPr>
      <w:r>
        <w:t>Some companies suggested to support a larger granularity than 1 RB for type 1 while other companies preferred to stay with the current 1 RB granularity. For the time being it suggested to keep 1 RB granularity for type 1 and possibly revisit later once the overall design has progressed further.</w:t>
      </w:r>
    </w:p>
    <w:p w:rsidR="0068782F" w:rsidRDefault="0068782F" w:rsidP="00585773">
      <w:pPr>
        <w:pStyle w:val="Heading2"/>
      </w:pPr>
      <w:r>
        <w:t>Frequency hopping</w:t>
      </w:r>
    </w:p>
    <w:p w:rsidR="0068782F" w:rsidRDefault="0068782F" w:rsidP="0068782F">
      <w:pPr>
        <w:pStyle w:val="BodyText"/>
      </w:pPr>
      <w:r>
        <w:t>Uplink frequency hopping for DFTS-OFDM has been agreed, but it is not clear where in the time domain to hop (e.g., in the middle of the slot to align across all UEs or in the middle of the allocation), nor is it clear between what frequency resources the hopping take place (e.g. preconfigured resources). This topic was mentioned by one or two contributions and it is suggested to focus on the other topics first.</w:t>
      </w:r>
    </w:p>
    <w:p w:rsidR="0068782F" w:rsidRDefault="009F7D8C" w:rsidP="00585773">
      <w:pPr>
        <w:pStyle w:val="Heading2"/>
      </w:pPr>
      <w:r>
        <w:t>Virtual Resource Blocks</w:t>
      </w:r>
    </w:p>
    <w:p w:rsidR="009F7D8C" w:rsidRDefault="009F7D8C" w:rsidP="009F7D8C">
      <w:pPr>
        <w:pStyle w:val="BodyText"/>
      </w:pPr>
      <w:r>
        <w:t xml:space="preserve">Virtual </w:t>
      </w:r>
      <w:r w:rsidR="0053186E">
        <w:t>resource</w:t>
      </w:r>
      <w:r>
        <w:t xml:space="preserve"> blocks may be needed to support e.g. frequency hopping. However, the details remain to be settled and it was not </w:t>
      </w:r>
      <w:r w:rsidR="0053186E">
        <w:t>discussed</w:t>
      </w:r>
      <w:r>
        <w:t xml:space="preserve"> to a great extent in the </w:t>
      </w:r>
      <w:r w:rsidR="0053186E">
        <w:t>documents</w:t>
      </w:r>
      <w:r>
        <w:t xml:space="preserve"> under 6.3.3.1</w:t>
      </w:r>
    </w:p>
    <w:p w:rsidR="009F7D8C" w:rsidRDefault="009F7D8C" w:rsidP="009F7D8C">
      <w:pPr>
        <w:pStyle w:val="Heading1"/>
      </w:pPr>
      <w:r>
        <w:lastRenderedPageBreak/>
        <w:t>Time-domain allocation</w:t>
      </w:r>
    </w:p>
    <w:p w:rsidR="00EE2EAD" w:rsidRPr="00EE2EAD" w:rsidRDefault="00EE2EAD" w:rsidP="00EE2EAD">
      <w:pPr>
        <w:pStyle w:val="Heading2"/>
      </w:pPr>
      <w:r>
        <w:t>Signaling of time-domain allocation</w:t>
      </w:r>
    </w:p>
    <w:p w:rsidR="009F7D8C" w:rsidRDefault="009F7D8C" w:rsidP="009F7D8C">
      <w:pPr>
        <w:pStyle w:val="BodyText"/>
      </w:pPr>
      <w:r>
        <w:t xml:space="preserve">Many contributions were fairly generic on this aspect without providing too much details. For single-slot scheduling the proposals included </w:t>
      </w:r>
    </w:p>
    <w:p w:rsidR="009F7D8C" w:rsidRDefault="009F7D8C" w:rsidP="009F7D8C">
      <w:pPr>
        <w:pStyle w:val="BodyText"/>
        <w:numPr>
          <w:ilvl w:val="0"/>
          <w:numId w:val="24"/>
        </w:numPr>
      </w:pPr>
      <w:r>
        <w:t>DCI provides explicit start/end (or start/length) in OFDM symbols in the slot</w:t>
      </w:r>
    </w:p>
    <w:p w:rsidR="009F7D8C" w:rsidRDefault="009F7D8C" w:rsidP="009F7D8C">
      <w:pPr>
        <w:pStyle w:val="BodyText"/>
        <w:numPr>
          <w:ilvl w:val="0"/>
          <w:numId w:val="24"/>
        </w:numPr>
      </w:pPr>
      <w:r>
        <w:t>DCI provides an index pointing to a semi-statically configured table of  start/end (or start/length) in OFDM symbols</w:t>
      </w:r>
    </w:p>
    <w:p w:rsidR="009F7D8C" w:rsidRDefault="009F7D8C" w:rsidP="009F7D8C">
      <w:pPr>
        <w:pStyle w:val="BodyText"/>
      </w:pPr>
      <w:r>
        <w:t>For non-slot-based transmissions, several contributions proposed to define the allocation relative to the PDCCH scheduling the transmission, i.e. the DCI contains an “offset” indicating the distance from the DCI to the data.</w:t>
      </w:r>
    </w:p>
    <w:p w:rsidR="00FF55F4" w:rsidRDefault="00FF55F4" w:rsidP="00FF55F4">
      <w:pPr>
        <w:pStyle w:val="Heading2"/>
      </w:pPr>
      <w:r>
        <w:t>Multi-slot scheduling and slot aggregation</w:t>
      </w:r>
    </w:p>
    <w:p w:rsidR="00FF55F4" w:rsidRDefault="009F7D8C" w:rsidP="009F7D8C">
      <w:pPr>
        <w:pStyle w:val="BodyText"/>
      </w:pPr>
      <w:r>
        <w:t xml:space="preserve">For multi-slot scheduling, several contributions proposed to </w:t>
      </w:r>
      <w:r w:rsidR="00785910">
        <w:t>apply the</w:t>
      </w:r>
      <w:r>
        <w:t xml:space="preserve"> same start/stop for each of the slot in the set of slots scheduled.</w:t>
      </w:r>
    </w:p>
    <w:p w:rsidR="00FF55F4" w:rsidRDefault="00C7042D" w:rsidP="009F7D8C">
      <w:pPr>
        <w:pStyle w:val="BodyText"/>
      </w:pPr>
      <w:r>
        <w:t>Slot aggregation has been agreed to be part of NR but the details are missing. Some of the options mentioned inclulde</w:t>
      </w:r>
    </w:p>
    <w:p w:rsidR="00C7042D" w:rsidRDefault="00C7042D" w:rsidP="00C7042D">
      <w:pPr>
        <w:pStyle w:val="BodyText"/>
        <w:numPr>
          <w:ilvl w:val="0"/>
          <w:numId w:val="29"/>
        </w:numPr>
      </w:pPr>
      <w:r>
        <w:t>the TB is mapped to the first slot and repeated across the remaining slots in the aggregation (potentially with different RV on each slot)</w:t>
      </w:r>
    </w:p>
    <w:p w:rsidR="00C7042D" w:rsidRDefault="00C7042D" w:rsidP="00C7042D">
      <w:pPr>
        <w:pStyle w:val="BodyText"/>
        <w:numPr>
          <w:ilvl w:val="0"/>
          <w:numId w:val="29"/>
        </w:numPr>
      </w:pPr>
      <w:r>
        <w:t>the single TB is mapped across all aggregated slots</w:t>
      </w:r>
    </w:p>
    <w:p w:rsidR="00C7042D" w:rsidRDefault="00C7042D" w:rsidP="00C7042D">
      <w:pPr>
        <w:pStyle w:val="BodyText"/>
        <w:numPr>
          <w:ilvl w:val="0"/>
          <w:numId w:val="29"/>
        </w:numPr>
      </w:pPr>
      <w:r>
        <w:t>different TB is mapped to the different slots in the set of aggregated slots</w:t>
      </w:r>
    </w:p>
    <w:p w:rsidR="00EE2EAD" w:rsidRDefault="00EE2EAD" w:rsidP="00EE2EAD">
      <w:pPr>
        <w:pStyle w:val="Heading2"/>
      </w:pPr>
      <w:r>
        <w:t>Mini-slot and slot boundaries</w:t>
      </w:r>
    </w:p>
    <w:p w:rsidR="00EE2EAD" w:rsidRDefault="00EE2EAD" w:rsidP="00EE2EAD">
      <w:pPr>
        <w:pStyle w:val="BodyText"/>
      </w:pPr>
      <w:r>
        <w:t>In the e-mail discussion, two questions related to mini-slots were raised:</w:t>
      </w:r>
    </w:p>
    <w:p w:rsidR="00EE2EAD" w:rsidRDefault="00EE2EAD" w:rsidP="00EE2EAD">
      <w:pPr>
        <w:pStyle w:val="BodyText"/>
        <w:numPr>
          <w:ilvl w:val="0"/>
          <w:numId w:val="28"/>
        </w:numPr>
      </w:pPr>
      <w:r>
        <w:t>Can a mini-slot cross the slot boundary or not?</w:t>
      </w:r>
    </w:p>
    <w:p w:rsidR="00EE2EAD" w:rsidRPr="00EE2EAD" w:rsidRDefault="00EE2EAD" w:rsidP="00EE2EAD">
      <w:pPr>
        <w:pStyle w:val="BodyText"/>
        <w:numPr>
          <w:ilvl w:val="0"/>
          <w:numId w:val="28"/>
        </w:numPr>
      </w:pPr>
      <w:r>
        <w:t>Is aggregation of mini-slots and slots supported in Rel-15?</w:t>
      </w:r>
    </w:p>
    <w:p w:rsidR="00585773" w:rsidRDefault="00585773" w:rsidP="00585773">
      <w:pPr>
        <w:pStyle w:val="Heading1"/>
      </w:pPr>
      <w:r>
        <w:t>Transport-block sizes</w:t>
      </w:r>
    </w:p>
    <w:p w:rsidR="00585773" w:rsidRDefault="00585773" w:rsidP="00585773">
      <w:pPr>
        <w:pStyle w:val="BodyText"/>
      </w:pPr>
      <w:r>
        <w:t xml:space="preserve">RAN1 has agreed to </w:t>
      </w:r>
      <w:r w:rsidR="007D2BAB">
        <w:t>strive for</w:t>
      </w:r>
      <w:r>
        <w:t xml:space="preserve"> a formula-based approach for defining the transport block sizes. </w:t>
      </w:r>
      <w:r w:rsidR="00581896">
        <w:t xml:space="preserve">Although some contributions expressed concerns with a formula-based approach, most contributions discussed the design of a formula-based approach. </w:t>
      </w:r>
      <w:r>
        <w:t>Many contributions used multiple steps to define the TB size</w:t>
      </w:r>
    </w:p>
    <w:p w:rsidR="00585773" w:rsidRDefault="007C690E" w:rsidP="007C690E">
      <w:pPr>
        <w:pStyle w:val="ListParagraph"/>
        <w:numPr>
          <w:ilvl w:val="0"/>
          <w:numId w:val="26"/>
        </w:numPr>
      </w:pPr>
      <w:r>
        <w:t xml:space="preserve">Calculate an “intermediate” TB size as </w:t>
      </w:r>
      <m:oMath>
        <m:r>
          <m:rPr>
            <m:sty m:val="p"/>
          </m:rPr>
          <w:rPr>
            <w:rFonts w:ascii="Cambria Math" w:hAnsi="Cambria Math"/>
            <w:lang w:val="en-GB" w:eastAsia="zh-CN"/>
          </w:rPr>
          <m:t xml:space="preserve"> </m:t>
        </m:r>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sSubSup>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w:r w:rsidRPr="007C690E">
        <w:rPr>
          <w:lang w:val="en-GB" w:eastAsia="zh-CN"/>
        </w:rPr>
        <w:t xml:space="preserve"> where </w:t>
      </w:r>
      <m:oMath>
        <m:r>
          <w:rPr>
            <w:rFonts w:ascii="Cambria Math" w:hAnsi="Cambria Math"/>
            <w:lang w:val="en-GB" w:eastAsia="zh-CN"/>
          </w:rPr>
          <m:t>υ</m:t>
        </m:r>
      </m:oMath>
      <w:r w:rsidRPr="007C690E">
        <w:rPr>
          <w:lang w:val="en-GB" w:eastAsia="zh-CN"/>
        </w:rPr>
        <w:t xml:space="preserve"> is the number of layers, </w:t>
      </w:r>
      <m:oMath>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oMath>
      <w:r w:rsidRPr="007C690E">
        <w:rPr>
          <w:iCs/>
          <w:lang w:val="en-GB" w:eastAsia="zh-CN"/>
        </w:rPr>
        <w:t xml:space="preserve"> is the modulation </w:t>
      </w:r>
      <w:r w:rsidR="0053186E" w:rsidRPr="007C690E">
        <w:rPr>
          <w:iCs/>
          <w:lang w:val="en-GB" w:eastAsia="zh-CN"/>
        </w:rPr>
        <w:t>order</w:t>
      </w:r>
      <w:r w:rsidRPr="007C690E">
        <w:rPr>
          <w:iCs/>
          <w:lang w:val="en-GB" w:eastAsia="zh-CN"/>
        </w:rPr>
        <w:t xml:space="preserve">, </w:t>
      </w:r>
      <m:oMath>
        <m:r>
          <w:rPr>
            <w:rFonts w:ascii="Cambria Math" w:hAnsi="Cambria Math"/>
            <w:lang w:val="en-GB" w:eastAsia="zh-CN"/>
          </w:rPr>
          <m:t>R</m:t>
        </m:r>
      </m:oMath>
      <w:r w:rsidRPr="007C690E">
        <w:rPr>
          <w:lang w:val="en-GB" w:eastAsia="zh-CN"/>
        </w:rPr>
        <w:t xml:space="preserve"> is the code rate, and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sSubSup>
      </m:oMath>
      <w:r w:rsidRPr="007C690E">
        <w:rPr>
          <w:iCs/>
          <w:lang w:val="en-GB" w:eastAsia="zh-CN"/>
        </w:rPr>
        <w:t xml:space="preserve"> is </w:t>
      </w:r>
      <w:r>
        <w:t>number of resource elements scheduled (in time and frequency)</w:t>
      </w:r>
    </w:p>
    <w:p w:rsidR="007C690E" w:rsidRDefault="007C690E" w:rsidP="0069094A">
      <w:pPr>
        <w:pStyle w:val="BodyText"/>
        <w:numPr>
          <w:ilvl w:val="0"/>
          <w:numId w:val="25"/>
        </w:numPr>
      </w:pPr>
      <w:r>
        <w:t xml:space="preserve">Adjust the TB size to be a multiple of 8 (byte aligned) and resulting </w:t>
      </w:r>
      <w:r w:rsidR="0000617F">
        <w:t>equally</w:t>
      </w:r>
      <w:r>
        <w:t>-sized code blocks</w:t>
      </w:r>
    </w:p>
    <w:p w:rsidR="0000617F" w:rsidRDefault="0000617F" w:rsidP="0000617F">
      <w:pPr>
        <w:pStyle w:val="BodyText"/>
        <w:rPr>
          <w:iCs/>
          <w:lang w:val="en-GB" w:eastAsia="zh-CN"/>
        </w:rPr>
      </w:pPr>
      <w:r>
        <w:t xml:space="preserve">A major question addressed in most contributions is whether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sSubSup>
      </m:oMath>
      <w:r>
        <w:rPr>
          <w:iCs/>
          <w:lang w:val="en-GB" w:eastAsia="zh-CN"/>
        </w:rPr>
        <w:t xml:space="preserve"> is</w:t>
      </w:r>
      <w:r w:rsidR="0053186E">
        <w:rPr>
          <w:iCs/>
          <w:lang w:val="en-GB" w:eastAsia="zh-CN"/>
        </w:rPr>
        <w:t xml:space="preserve"> derived assuming</w:t>
      </w:r>
    </w:p>
    <w:p w:rsidR="0000617F" w:rsidRDefault="0000617F" w:rsidP="0000617F">
      <w:pPr>
        <w:pStyle w:val="BodyText"/>
        <w:numPr>
          <w:ilvl w:val="0"/>
          <w:numId w:val="25"/>
        </w:numPr>
      </w:pPr>
      <w:r>
        <w:t xml:space="preserve">the </w:t>
      </w:r>
      <w:r w:rsidR="0053186E">
        <w:t xml:space="preserve">actual presence of dynamically appearing signals such as </w:t>
      </w:r>
      <w:r>
        <w:t>TRS, PT-RS, and CSI-RS</w:t>
      </w:r>
    </w:p>
    <w:p w:rsidR="0053186E" w:rsidRDefault="0000617F" w:rsidP="0053186E">
      <w:pPr>
        <w:pStyle w:val="BodyText"/>
        <w:numPr>
          <w:ilvl w:val="0"/>
          <w:numId w:val="25"/>
        </w:numPr>
      </w:pPr>
      <w:r>
        <w:t>a “reference</w:t>
      </w:r>
      <w:r w:rsidR="0053186E">
        <w:t>”</w:t>
      </w:r>
      <w:r>
        <w:t xml:space="preserve"> number </w:t>
      </w:r>
      <w:r w:rsidR="0053186E">
        <w:t>of REs used for signals such as TRS, PT-RS, and CSI-RS</w:t>
      </w:r>
    </w:p>
    <w:p w:rsidR="0053186E" w:rsidRDefault="0053186E" w:rsidP="0053186E">
      <w:pPr>
        <w:pStyle w:val="BodyText"/>
        <w:rPr>
          <w:iCs/>
          <w:lang w:val="en-GB" w:eastAsia="zh-CN"/>
        </w:rPr>
      </w:pPr>
      <w:r>
        <w:t xml:space="preserve">A majority seems to prefer to use a “reference number”, motivated by robustness to error cases when the initial transmission is missed by the UE and the actual number of dynamically appearing signals such as TRS, PT-RS, and CSI-RS is not know and hence </w:t>
      </w:r>
      <m:oMath>
        <m:sSubSup>
          <m:sSubSupPr>
            <m:ctrlPr>
              <w:rPr>
                <w:rFonts w:ascii="Cambria Math" w:hAnsi="Cambria Math"/>
                <w:i/>
                <w:iCs/>
                <w:lang w:val="en-GB" w:eastAsia="zh-CN"/>
              </w:rPr>
            </m:ctrlPr>
          </m:sSubSupPr>
          <m:e>
            <m:r>
              <w:rPr>
                <w:rFonts w:ascii="Cambria Math" w:hAnsi="Cambria Math"/>
                <w:lang w:val="en-GB" w:eastAsia="zh-CN"/>
              </w:rPr>
              <m:t>N</m:t>
            </m:r>
          </m:e>
          <m:sub>
            <m:r>
              <w:rPr>
                <w:rFonts w:ascii="Cambria Math" w:hAnsi="Cambria Math"/>
                <w:lang w:val="en-GB" w:eastAsia="zh-CN"/>
              </w:rPr>
              <m:t>RE</m:t>
            </m:r>
          </m:sub>
          <m:sup/>
        </m:sSubSup>
      </m:oMath>
      <w:r>
        <w:rPr>
          <w:iCs/>
          <w:lang w:val="en-GB" w:eastAsia="zh-CN"/>
        </w:rPr>
        <w:t xml:space="preserve"> is problematic to determine for the retransmission.</w:t>
      </w:r>
    </w:p>
    <w:p w:rsidR="0053186E" w:rsidRDefault="0053186E" w:rsidP="0053186E">
      <w:pPr>
        <w:pStyle w:val="Heading1"/>
      </w:pPr>
      <w:r>
        <w:t>Other</w:t>
      </w:r>
    </w:p>
    <w:p w:rsidR="0053186E" w:rsidRDefault="0053186E" w:rsidP="0053186E">
      <w:pPr>
        <w:pStyle w:val="Heading2"/>
      </w:pPr>
      <w:r>
        <w:t xml:space="preserve">Indication of uplink waveform </w:t>
      </w:r>
    </w:p>
    <w:p w:rsidR="0053186E" w:rsidRDefault="0053186E" w:rsidP="0053186E">
      <w:pPr>
        <w:pStyle w:val="BodyText"/>
      </w:pPr>
      <w:r>
        <w:t>NR supports both DFTS-OFDM and OFDM in the uplink and the UE needs to know which waveform to use. A few documents brought up this issue. The uplink waveform can either be semi-statically configured or dynamically indicated (e.g. as part of the MCS signaling).</w:t>
      </w:r>
    </w:p>
    <w:p w:rsidR="0053186E" w:rsidRDefault="0053186E" w:rsidP="0053186E">
      <w:pPr>
        <w:pStyle w:val="BodyText"/>
      </w:pPr>
      <w:r>
        <w:t>Regardless of the solution chosen, we need to ensure that the UE and NW has the same understanding of the uplink waveform in case of reconfiguration.</w:t>
      </w:r>
    </w:p>
    <w:p w:rsidR="00EE2EAD" w:rsidRPr="0053186E" w:rsidRDefault="00EE2EAD" w:rsidP="00EE2EAD">
      <w:pPr>
        <w:pStyle w:val="Heading2"/>
        <w:numPr>
          <w:ilvl w:val="0"/>
          <w:numId w:val="0"/>
        </w:numPr>
      </w:pPr>
    </w:p>
    <w:sectPr w:rsidR="00EE2EAD" w:rsidRPr="0053186E"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561" w:rsidRDefault="006F5561" w:rsidP="00896408">
      <w:r>
        <w:separator/>
      </w:r>
    </w:p>
  </w:endnote>
  <w:endnote w:type="continuationSeparator" w:id="0">
    <w:p w:rsidR="006F5561" w:rsidRDefault="006F556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561" w:rsidRDefault="006F5561" w:rsidP="00896408">
      <w:r>
        <w:separator/>
      </w:r>
    </w:p>
  </w:footnote>
  <w:footnote w:type="continuationSeparator" w:id="0">
    <w:p w:rsidR="006F5561" w:rsidRDefault="006F5561" w:rsidP="00896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408" w:rsidRDefault="008964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40871"/>
    <w:multiLevelType w:val="hybridMultilevel"/>
    <w:tmpl w:val="B04CFF1C"/>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A6FD9"/>
    <w:multiLevelType w:val="hybridMultilevel"/>
    <w:tmpl w:val="64DCA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28"/>
    <w:multiLevelType w:val="hybridMultilevel"/>
    <w:tmpl w:val="82F8E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4D32A48"/>
    <w:multiLevelType w:val="hybridMultilevel"/>
    <w:tmpl w:val="75E66B56"/>
    <w:lvl w:ilvl="0" w:tplc="6CD45E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B3376"/>
    <w:multiLevelType w:val="hybridMultilevel"/>
    <w:tmpl w:val="CBAAC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C16D42"/>
    <w:multiLevelType w:val="hybridMultilevel"/>
    <w:tmpl w:val="89E81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24B98"/>
    <w:multiLevelType w:val="hybridMultilevel"/>
    <w:tmpl w:val="AAA28D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E270D74"/>
    <w:multiLevelType w:val="hybridMultilevel"/>
    <w:tmpl w:val="91F255F8"/>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65C0C"/>
    <w:multiLevelType w:val="hybridMultilevel"/>
    <w:tmpl w:val="E882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238A8"/>
    <w:multiLevelType w:val="hybridMultilevel"/>
    <w:tmpl w:val="829C1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A61BEE"/>
    <w:multiLevelType w:val="hybridMultilevel"/>
    <w:tmpl w:val="839209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987E81"/>
    <w:multiLevelType w:val="hybridMultilevel"/>
    <w:tmpl w:val="B84261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0041EC"/>
    <w:multiLevelType w:val="hybridMultilevel"/>
    <w:tmpl w:val="92E8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
  </w:num>
  <w:num w:numId="4">
    <w:abstractNumId w:val="23"/>
  </w:num>
  <w:num w:numId="5">
    <w:abstractNumId w:val="20"/>
  </w:num>
  <w:num w:numId="6">
    <w:abstractNumId w:val="17"/>
  </w:num>
  <w:num w:numId="7">
    <w:abstractNumId w:val="22"/>
  </w:num>
  <w:num w:numId="8">
    <w:abstractNumId w:val="21"/>
  </w:num>
  <w:num w:numId="9">
    <w:abstractNumId w:val="9"/>
  </w:num>
  <w:num w:numId="10">
    <w:abstractNumId w:val="6"/>
  </w:num>
  <w:num w:numId="11">
    <w:abstractNumId w:val="13"/>
  </w:num>
  <w:num w:numId="12">
    <w:abstractNumId w:val="24"/>
  </w:num>
  <w:num w:numId="13">
    <w:abstractNumId w:val="5"/>
  </w:num>
  <w:num w:numId="14">
    <w:abstractNumId w:val="16"/>
  </w:num>
  <w:num w:numId="15">
    <w:abstractNumId w:val="19"/>
  </w:num>
  <w:num w:numId="16">
    <w:abstractNumId w:val="14"/>
  </w:num>
  <w:num w:numId="17">
    <w:abstractNumId w:val="3"/>
  </w:num>
  <w:num w:numId="18">
    <w:abstractNumId w:val="23"/>
  </w:num>
  <w:num w:numId="19">
    <w:abstractNumId w:val="23"/>
  </w:num>
  <w:num w:numId="20">
    <w:abstractNumId w:val="11"/>
  </w:num>
  <w:num w:numId="21">
    <w:abstractNumId w:val="10"/>
  </w:num>
  <w:num w:numId="22">
    <w:abstractNumId w:val="23"/>
  </w:num>
  <w:num w:numId="23">
    <w:abstractNumId w:val="15"/>
  </w:num>
  <w:num w:numId="24">
    <w:abstractNumId w:val="8"/>
  </w:num>
  <w:num w:numId="25">
    <w:abstractNumId w:val="0"/>
  </w:num>
  <w:num w:numId="26">
    <w:abstractNumId w:val="18"/>
  </w:num>
  <w:num w:numId="27">
    <w:abstractNumId w:val="4"/>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208D5"/>
    <w:rsid w:val="00024F13"/>
    <w:rsid w:val="001372E8"/>
    <w:rsid w:val="001E2FED"/>
    <w:rsid w:val="00262FC3"/>
    <w:rsid w:val="0028065B"/>
    <w:rsid w:val="00286B6D"/>
    <w:rsid w:val="002B0DDD"/>
    <w:rsid w:val="002B59EF"/>
    <w:rsid w:val="00314572"/>
    <w:rsid w:val="0033205D"/>
    <w:rsid w:val="00341942"/>
    <w:rsid w:val="0034475B"/>
    <w:rsid w:val="00365CE4"/>
    <w:rsid w:val="0048093F"/>
    <w:rsid w:val="004900B0"/>
    <w:rsid w:val="00511208"/>
    <w:rsid w:val="005164F1"/>
    <w:rsid w:val="0052140E"/>
    <w:rsid w:val="0053186E"/>
    <w:rsid w:val="00544261"/>
    <w:rsid w:val="005514B5"/>
    <w:rsid w:val="00581896"/>
    <w:rsid w:val="005838EA"/>
    <w:rsid w:val="00585773"/>
    <w:rsid w:val="00614513"/>
    <w:rsid w:val="0063517D"/>
    <w:rsid w:val="00664ED5"/>
    <w:rsid w:val="00666BD1"/>
    <w:rsid w:val="0068782F"/>
    <w:rsid w:val="006A286A"/>
    <w:rsid w:val="006F5561"/>
    <w:rsid w:val="0078136E"/>
    <w:rsid w:val="00785910"/>
    <w:rsid w:val="007C690E"/>
    <w:rsid w:val="007D2BAB"/>
    <w:rsid w:val="007F5DBD"/>
    <w:rsid w:val="00896408"/>
    <w:rsid w:val="008A0342"/>
    <w:rsid w:val="00942F98"/>
    <w:rsid w:val="009770FF"/>
    <w:rsid w:val="009A0611"/>
    <w:rsid w:val="009E46CD"/>
    <w:rsid w:val="009F7D8C"/>
    <w:rsid w:val="00A42CFD"/>
    <w:rsid w:val="00AC643E"/>
    <w:rsid w:val="00B03ED8"/>
    <w:rsid w:val="00B1604D"/>
    <w:rsid w:val="00B368D9"/>
    <w:rsid w:val="00B5007A"/>
    <w:rsid w:val="00B573AB"/>
    <w:rsid w:val="00BB2430"/>
    <w:rsid w:val="00BB7B54"/>
    <w:rsid w:val="00BE4063"/>
    <w:rsid w:val="00C1560A"/>
    <w:rsid w:val="00C62894"/>
    <w:rsid w:val="00C7042D"/>
    <w:rsid w:val="00C8496C"/>
    <w:rsid w:val="00C930DC"/>
    <w:rsid w:val="00CB5A40"/>
    <w:rsid w:val="00CC1CA7"/>
    <w:rsid w:val="00CE6CB0"/>
    <w:rsid w:val="00CE7B9C"/>
    <w:rsid w:val="00D03072"/>
    <w:rsid w:val="00D577BB"/>
    <w:rsid w:val="00D92AB5"/>
    <w:rsid w:val="00DD11CB"/>
    <w:rsid w:val="00DE1BAA"/>
    <w:rsid w:val="00E10C1F"/>
    <w:rsid w:val="00E20E32"/>
    <w:rsid w:val="00E2157C"/>
    <w:rsid w:val="00E25B87"/>
    <w:rsid w:val="00E30C81"/>
    <w:rsid w:val="00E33BAF"/>
    <w:rsid w:val="00E34104"/>
    <w:rsid w:val="00EB26FB"/>
    <w:rsid w:val="00EC2F3D"/>
    <w:rsid w:val="00EE2EAD"/>
    <w:rsid w:val="00F346B4"/>
    <w:rsid w:val="00F618ED"/>
    <w:rsid w:val="00F74C55"/>
    <w:rsid w:val="00F81C1C"/>
    <w:rsid w:val="00F92325"/>
    <w:rsid w:val="00FA2D6F"/>
    <w:rsid w:val="00FC7919"/>
    <w:rsid w:val="00FE1148"/>
    <w:rsid w:val="00FF199B"/>
    <w:rsid w:val="00FF55F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basedOn w:val="Normal"/>
    <w:uiPriority w:val="34"/>
    <w:qFormat/>
    <w:rsid w:val="007C69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EB8E-4756-4D16-8B63-8465C38F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2017-09-21T00:12:00Z</dcterms:created>
  <dcterms:modified xsi:type="dcterms:W3CDTF">2017-09-21T00:12:00Z</dcterms:modified>
</cp:coreProperties>
</file>